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A6358F">
      <w:pPr>
        <w:spacing w:line="600" w:lineRule="exact"/>
        <w:rPr>
          <w:rFonts w:eastAsia="黑体"/>
          <w:kern w:val="0"/>
          <w:sz w:val="32"/>
          <w:szCs w:val="32"/>
        </w:rPr>
      </w:pPr>
    </w:p>
    <w:p w14:paraId="38D220C3">
      <w:pPr>
        <w:jc w:val="center"/>
        <w:rPr>
          <w:rFonts w:hint="eastAsia" w:ascii="宋体" w:hAnsi="宋体" w:eastAsia="宋体" w:cs="宋体"/>
          <w:b/>
          <w:bCs/>
          <w:sz w:val="48"/>
          <w:szCs w:val="48"/>
          <w:shd w:val="clear" w:color="auto" w:fill="auto"/>
        </w:rPr>
      </w:pPr>
      <w:r>
        <w:rPr>
          <w:rFonts w:hint="eastAsia" w:eastAsia="方正小标宋_GBK"/>
          <w:b/>
          <w:bCs/>
          <w:sz w:val="48"/>
          <w:szCs w:val="48"/>
        </w:rPr>
        <w:t>2023</w:t>
      </w:r>
      <w:r>
        <w:rPr>
          <w:rFonts w:hint="eastAsia" w:ascii="宋体" w:hAnsi="宋体" w:eastAsia="宋体" w:cs="宋体"/>
          <w:b/>
          <w:bCs/>
          <w:sz w:val="48"/>
          <w:szCs w:val="48"/>
          <w:shd w:val="clear" w:color="auto" w:fill="auto"/>
        </w:rPr>
        <w:t>年度江永县</w:t>
      </w:r>
      <w:r>
        <w:rPr>
          <w:rFonts w:hint="eastAsia" w:ascii="宋体" w:hAnsi="宋体" w:eastAsia="宋体" w:cs="宋体"/>
          <w:b/>
          <w:bCs/>
          <w:sz w:val="48"/>
          <w:szCs w:val="48"/>
          <w:shd w:val="clear" w:color="auto" w:fill="auto"/>
          <w:lang w:eastAsia="zh-CN"/>
        </w:rPr>
        <w:t>第一中学</w:t>
      </w:r>
      <w:r>
        <w:rPr>
          <w:rFonts w:hint="eastAsia" w:ascii="宋体" w:hAnsi="宋体" w:eastAsia="宋体" w:cs="宋体"/>
          <w:b/>
          <w:bCs/>
          <w:sz w:val="48"/>
          <w:szCs w:val="48"/>
          <w:shd w:val="clear" w:color="auto" w:fill="auto"/>
        </w:rPr>
        <w:t>整体支出</w:t>
      </w:r>
    </w:p>
    <w:p w14:paraId="78CAF330">
      <w:pPr>
        <w:jc w:val="center"/>
        <w:rPr>
          <w:rFonts w:hint="eastAsia" w:ascii="宋体" w:hAnsi="宋体" w:eastAsia="宋体" w:cs="宋体"/>
          <w:b/>
          <w:bCs/>
          <w:sz w:val="48"/>
          <w:szCs w:val="48"/>
          <w:shd w:val="clear" w:color="auto" w:fill="auto"/>
        </w:rPr>
      </w:pPr>
      <w:r>
        <w:rPr>
          <w:rFonts w:hint="eastAsia" w:ascii="宋体" w:hAnsi="宋体" w:eastAsia="宋体" w:cs="宋体"/>
          <w:b/>
          <w:bCs/>
          <w:sz w:val="48"/>
          <w:szCs w:val="48"/>
          <w:shd w:val="clear" w:color="auto" w:fill="auto"/>
        </w:rPr>
        <w:t>绩效自评报告</w:t>
      </w:r>
    </w:p>
    <w:p w14:paraId="76643B17">
      <w:pPr>
        <w:jc w:val="center"/>
        <w:rPr>
          <w:rFonts w:eastAsia="楷体_GB2312"/>
          <w:b/>
          <w:sz w:val="32"/>
          <w:szCs w:val="32"/>
        </w:rPr>
      </w:pPr>
    </w:p>
    <w:p w14:paraId="548B10EE">
      <w:pPr>
        <w:jc w:val="center"/>
        <w:rPr>
          <w:rFonts w:eastAsia="黑体"/>
          <w:sz w:val="32"/>
          <w:szCs w:val="32"/>
        </w:rPr>
      </w:pPr>
    </w:p>
    <w:p w14:paraId="146694B6">
      <w:pPr>
        <w:jc w:val="center"/>
        <w:rPr>
          <w:rFonts w:eastAsia="黑体"/>
          <w:sz w:val="32"/>
          <w:szCs w:val="32"/>
        </w:rPr>
      </w:pPr>
    </w:p>
    <w:p w14:paraId="612F8970">
      <w:pPr>
        <w:jc w:val="center"/>
        <w:rPr>
          <w:rFonts w:eastAsia="黑体"/>
          <w:sz w:val="32"/>
          <w:szCs w:val="32"/>
        </w:rPr>
      </w:pPr>
    </w:p>
    <w:p w14:paraId="6B5CDB70">
      <w:pPr>
        <w:jc w:val="center"/>
        <w:rPr>
          <w:rFonts w:eastAsia="黑体"/>
          <w:sz w:val="32"/>
          <w:szCs w:val="32"/>
        </w:rPr>
      </w:pPr>
    </w:p>
    <w:p w14:paraId="01FADCB3">
      <w:pPr>
        <w:jc w:val="center"/>
        <w:rPr>
          <w:rFonts w:eastAsia="黑体"/>
          <w:sz w:val="32"/>
          <w:szCs w:val="32"/>
        </w:rPr>
      </w:pPr>
    </w:p>
    <w:p w14:paraId="1A6B467D">
      <w:pPr>
        <w:jc w:val="center"/>
        <w:rPr>
          <w:rFonts w:eastAsia="黑体"/>
          <w:sz w:val="32"/>
          <w:szCs w:val="32"/>
        </w:rPr>
      </w:pPr>
    </w:p>
    <w:p w14:paraId="2E350B89">
      <w:pPr>
        <w:jc w:val="center"/>
        <w:rPr>
          <w:rFonts w:eastAsia="黑体"/>
          <w:sz w:val="32"/>
          <w:szCs w:val="32"/>
        </w:rPr>
      </w:pPr>
    </w:p>
    <w:p w14:paraId="61D06D2A">
      <w:pPr>
        <w:ind w:firstLine="880" w:firstLineChars="200"/>
        <w:jc w:val="center"/>
        <w:rPr>
          <w:rFonts w:eastAsia="黑体"/>
          <w:sz w:val="44"/>
          <w:szCs w:val="44"/>
        </w:rPr>
      </w:pPr>
    </w:p>
    <w:p w14:paraId="79A04A82">
      <w:pPr>
        <w:ind w:firstLine="880" w:firstLineChars="200"/>
        <w:jc w:val="center"/>
        <w:rPr>
          <w:rFonts w:eastAsia="黑体"/>
          <w:sz w:val="44"/>
          <w:szCs w:val="44"/>
        </w:rPr>
      </w:pPr>
    </w:p>
    <w:p w14:paraId="4DE05453">
      <w:pPr>
        <w:ind w:firstLine="880" w:firstLineChars="200"/>
        <w:jc w:val="center"/>
        <w:rPr>
          <w:rFonts w:eastAsia="黑体"/>
          <w:sz w:val="44"/>
          <w:szCs w:val="44"/>
        </w:rPr>
      </w:pPr>
    </w:p>
    <w:p w14:paraId="211C785D">
      <w:pPr>
        <w:ind w:firstLine="720" w:firstLineChars="200"/>
        <w:jc w:val="center"/>
        <w:rPr>
          <w:rFonts w:eastAsia="黑体"/>
          <w:sz w:val="36"/>
          <w:szCs w:val="36"/>
        </w:rPr>
      </w:pPr>
      <w:r>
        <w:rPr>
          <w:rFonts w:eastAsia="黑体"/>
          <w:sz w:val="36"/>
          <w:szCs w:val="36"/>
        </w:rPr>
        <w:t>单位名称（盖章）：</w:t>
      </w:r>
    </w:p>
    <w:p w14:paraId="0785CCC7">
      <w:pPr>
        <w:jc w:val="center"/>
        <w:rPr>
          <w:rFonts w:eastAsia="黑体"/>
          <w:sz w:val="36"/>
          <w:szCs w:val="36"/>
        </w:rPr>
      </w:pPr>
    </w:p>
    <w:p w14:paraId="05A1A620">
      <w:pPr>
        <w:rPr>
          <w:rFonts w:eastAsia="黑体"/>
          <w:sz w:val="32"/>
          <w:szCs w:val="32"/>
        </w:rPr>
      </w:pPr>
    </w:p>
    <w:p w14:paraId="674E8AF2">
      <w:pPr>
        <w:jc w:val="center"/>
        <w:rPr>
          <w:rFonts w:eastAsia="黑体"/>
          <w:sz w:val="32"/>
          <w:szCs w:val="32"/>
        </w:rPr>
      </w:pPr>
    </w:p>
    <w:p w14:paraId="64DEC959">
      <w:pPr>
        <w:jc w:val="center"/>
        <w:rPr>
          <w:rFonts w:hint="eastAsia" w:ascii="宋体" w:hAnsi="宋体" w:eastAsia="宋体" w:cs="宋体"/>
          <w:sz w:val="32"/>
          <w:szCs w:val="32"/>
        </w:rPr>
      </w:pPr>
      <w:r>
        <w:rPr>
          <w:rFonts w:hint="eastAsia" w:ascii="宋体" w:hAnsi="宋体" w:eastAsia="宋体" w:cs="宋体"/>
          <w:sz w:val="32"/>
          <w:szCs w:val="32"/>
        </w:rPr>
        <w:t>（此页为封面）</w:t>
      </w:r>
    </w:p>
    <w:p w14:paraId="76EF1121">
      <w:pPr>
        <w:jc w:val="center"/>
        <w:rPr>
          <w:rFonts w:eastAsia="仿宋_GB2312"/>
          <w:sz w:val="32"/>
          <w:szCs w:val="32"/>
        </w:rPr>
      </w:pPr>
    </w:p>
    <w:p w14:paraId="612BD738">
      <w:pPr>
        <w:spacing w:line="600" w:lineRule="exact"/>
        <w:jc w:val="center"/>
        <w:rPr>
          <w:rFonts w:hint="eastAsia" w:ascii="宋体" w:hAnsi="宋体" w:eastAsia="宋体" w:cs="宋体"/>
          <w:sz w:val="32"/>
          <w:szCs w:val="32"/>
        </w:rPr>
      </w:pPr>
      <w:r>
        <w:rPr>
          <w:rFonts w:eastAsia="仿宋_GB2312"/>
          <w:sz w:val="32"/>
          <w:szCs w:val="32"/>
        </w:rPr>
        <w:br w:type="page"/>
      </w:r>
      <w:r>
        <w:rPr>
          <w:rFonts w:hint="eastAsia" w:ascii="宋体" w:hAnsi="宋体" w:eastAsia="宋体" w:cs="宋体"/>
          <w:kern w:val="0"/>
          <w:sz w:val="44"/>
          <w:szCs w:val="44"/>
        </w:rPr>
        <w:t>2023年度江永县</w:t>
      </w:r>
      <w:r>
        <w:rPr>
          <w:rFonts w:hint="eastAsia" w:ascii="宋体" w:hAnsi="宋体" w:eastAsia="宋体" w:cs="宋体"/>
          <w:kern w:val="0"/>
          <w:sz w:val="44"/>
          <w:szCs w:val="44"/>
          <w:lang w:eastAsia="zh-CN"/>
        </w:rPr>
        <w:t>第一中学</w:t>
      </w:r>
      <w:r>
        <w:rPr>
          <w:rFonts w:hint="eastAsia" w:ascii="宋体" w:hAnsi="宋体" w:eastAsia="宋体" w:cs="宋体"/>
          <w:kern w:val="0"/>
          <w:sz w:val="44"/>
          <w:szCs w:val="44"/>
        </w:rPr>
        <w:t>整体支出绩效</w:t>
      </w:r>
    </w:p>
    <w:p w14:paraId="4D127561">
      <w:pPr>
        <w:spacing w:line="600" w:lineRule="exact"/>
        <w:jc w:val="center"/>
        <w:rPr>
          <w:rFonts w:hint="eastAsia" w:ascii="宋体" w:hAnsi="宋体" w:eastAsia="宋体" w:cs="宋体"/>
          <w:kern w:val="0"/>
          <w:sz w:val="44"/>
          <w:szCs w:val="44"/>
        </w:rPr>
      </w:pPr>
      <w:r>
        <w:rPr>
          <w:rFonts w:hint="eastAsia" w:ascii="宋体" w:hAnsi="宋体" w:eastAsia="宋体" w:cs="宋体"/>
          <w:kern w:val="0"/>
          <w:sz w:val="44"/>
          <w:szCs w:val="44"/>
        </w:rPr>
        <w:t>自评报告</w:t>
      </w:r>
    </w:p>
    <w:p w14:paraId="6C383266">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一、基本情况</w:t>
      </w:r>
    </w:p>
    <w:p w14:paraId="13D144BB">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（一）单位基本情况</w:t>
      </w:r>
    </w:p>
    <w:p w14:paraId="2949397D">
      <w:pPr>
        <w:keepNext w:val="0"/>
        <w:keepLines w:val="0"/>
        <w:pageBreakBefore w:val="0"/>
        <w:kinsoku/>
        <w:wordWrap/>
        <w:overflowPunct/>
        <w:topLinePunct w:val="0"/>
        <w:autoSpaceDE/>
        <w:autoSpaceDN/>
        <w:bidi w:val="0"/>
        <w:adjustRightInd/>
        <w:snapToGrid/>
        <w:spacing w:line="560" w:lineRule="exact"/>
        <w:ind w:firstLine="560" w:firstLineChars="200"/>
        <w:jc w:val="both"/>
        <w:textAlignment w:val="auto"/>
        <w:rPr>
          <w:rFonts w:hint="eastAsia" w:ascii="仿宋" w:hAnsi="仿宋" w:eastAsia="仿宋" w:cs="仿宋"/>
          <w:color w:val="auto"/>
          <w:sz w:val="28"/>
          <w:szCs w:val="28"/>
        </w:rPr>
      </w:pPr>
      <w:r>
        <w:rPr>
          <w:rFonts w:hint="eastAsia" w:ascii="仿宋" w:hAnsi="仿宋" w:eastAsia="仿宋" w:cs="仿宋"/>
          <w:color w:val="auto"/>
          <w:sz w:val="28"/>
          <w:szCs w:val="28"/>
          <w:lang w:val="en-US" w:eastAsia="zh-CN"/>
        </w:rPr>
        <w:t>江永县第一中学</w:t>
      </w:r>
      <w:r>
        <w:rPr>
          <w:rFonts w:hint="eastAsia" w:ascii="仿宋" w:hAnsi="仿宋" w:eastAsia="仿宋" w:cs="仿宋"/>
          <w:i w:val="0"/>
          <w:caps w:val="0"/>
          <w:color w:val="auto"/>
          <w:spacing w:val="0"/>
          <w:sz w:val="28"/>
          <w:szCs w:val="28"/>
          <w:shd w:val="clear" w:color="auto" w:fill="FFFFFF"/>
        </w:rPr>
        <w:t>创立于1926年，2005年6月，被省教育厅批准为湖南省示范性普通高级中学。</w:t>
      </w:r>
      <w:r>
        <w:rPr>
          <w:rFonts w:hint="eastAsia" w:ascii="仿宋" w:hAnsi="仿宋" w:eastAsia="仿宋" w:cs="仿宋"/>
          <w:color w:val="auto"/>
          <w:sz w:val="28"/>
          <w:szCs w:val="28"/>
        </w:rPr>
        <w:t>学校占地面积133793.45平米，校舍面积51263.3平米</w:t>
      </w:r>
      <w:r>
        <w:rPr>
          <w:rFonts w:hint="eastAsia" w:ascii="仿宋" w:hAnsi="仿宋" w:eastAsia="仿宋" w:cs="仿宋"/>
          <w:color w:val="auto"/>
          <w:sz w:val="28"/>
          <w:szCs w:val="28"/>
          <w:lang w:eastAsia="zh-CN"/>
        </w:rPr>
        <w:t>。</w:t>
      </w:r>
      <w:r>
        <w:rPr>
          <w:rFonts w:hint="eastAsia" w:ascii="仿宋" w:hAnsi="仿宋" w:eastAsia="仿宋" w:cs="仿宋"/>
          <w:i w:val="0"/>
          <w:caps w:val="0"/>
          <w:color w:val="auto"/>
          <w:spacing w:val="0"/>
          <w:sz w:val="28"/>
          <w:szCs w:val="28"/>
          <w:shd w:val="clear" w:color="auto" w:fill="FFFFFF"/>
        </w:rPr>
        <w:t>绿化总面积达67216平方米，绿化覆盖率50.8%。</w:t>
      </w:r>
      <w:r>
        <w:rPr>
          <w:rFonts w:hint="eastAsia" w:ascii="仿宋" w:hAnsi="仿宋" w:eastAsia="仿宋" w:cs="仿宋"/>
          <w:color w:val="auto"/>
          <w:sz w:val="28"/>
          <w:szCs w:val="28"/>
          <w:lang w:val="en-US" w:eastAsia="zh-CN"/>
        </w:rPr>
        <w:t>2023年下期，在校学生3003人，班级数54个。在职</w:t>
      </w:r>
      <w:r>
        <w:rPr>
          <w:rFonts w:hint="eastAsia" w:ascii="仿宋" w:hAnsi="仿宋" w:eastAsia="仿宋" w:cs="仿宋"/>
          <w:color w:val="auto"/>
          <w:sz w:val="28"/>
          <w:szCs w:val="28"/>
        </w:rPr>
        <w:t>教职员工</w:t>
      </w:r>
      <w:r>
        <w:rPr>
          <w:rFonts w:hint="eastAsia" w:ascii="仿宋" w:hAnsi="仿宋" w:eastAsia="仿宋" w:cs="仿宋"/>
          <w:color w:val="auto"/>
          <w:sz w:val="28"/>
          <w:szCs w:val="28"/>
          <w:lang w:val="en-US" w:eastAsia="zh-CN"/>
        </w:rPr>
        <w:t>201</w:t>
      </w:r>
      <w:r>
        <w:rPr>
          <w:rFonts w:hint="eastAsia" w:ascii="仿宋" w:hAnsi="仿宋" w:eastAsia="仿宋" w:cs="仿宋"/>
          <w:color w:val="auto"/>
          <w:sz w:val="28"/>
          <w:szCs w:val="28"/>
        </w:rPr>
        <w:t>人，</w:t>
      </w:r>
      <w:r>
        <w:rPr>
          <w:rFonts w:hint="eastAsia" w:ascii="仿宋" w:hAnsi="仿宋" w:eastAsia="仿宋" w:cs="仿宋"/>
          <w:color w:val="auto"/>
          <w:sz w:val="28"/>
          <w:szCs w:val="28"/>
          <w:lang w:eastAsia="zh-CN"/>
        </w:rPr>
        <w:t>其中</w:t>
      </w:r>
      <w:r>
        <w:rPr>
          <w:rFonts w:hint="eastAsia" w:ascii="仿宋" w:hAnsi="仿宋" w:eastAsia="仿宋" w:cs="仿宋"/>
          <w:color w:val="auto"/>
          <w:sz w:val="28"/>
          <w:szCs w:val="28"/>
        </w:rPr>
        <w:t>市级名师2人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市级学科带头人8人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市骨干教师5人，县名师10人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县学科带头人6人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县骨干教师30人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研究生学历</w:t>
      </w:r>
      <w:r>
        <w:rPr>
          <w:rFonts w:hint="eastAsia" w:ascii="仿宋" w:hAnsi="仿宋" w:eastAsia="仿宋" w:cs="仿宋"/>
          <w:color w:val="auto"/>
          <w:sz w:val="28"/>
          <w:szCs w:val="28"/>
          <w:lang w:val="en-US" w:eastAsia="zh-CN"/>
        </w:rPr>
        <w:t>17</w:t>
      </w:r>
      <w:r>
        <w:rPr>
          <w:rFonts w:hint="eastAsia" w:ascii="仿宋" w:hAnsi="仿宋" w:eastAsia="仿宋" w:cs="仿宋"/>
          <w:color w:val="auto"/>
          <w:sz w:val="28"/>
          <w:szCs w:val="28"/>
        </w:rPr>
        <w:t>人</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高级职称教师</w:t>
      </w:r>
      <w:r>
        <w:rPr>
          <w:rFonts w:hint="eastAsia" w:ascii="仿宋" w:hAnsi="仿宋" w:eastAsia="仿宋" w:cs="仿宋"/>
          <w:color w:val="auto"/>
          <w:sz w:val="28"/>
          <w:szCs w:val="28"/>
          <w:lang w:val="en-US" w:eastAsia="zh-CN"/>
        </w:rPr>
        <w:t>69</w:t>
      </w:r>
      <w:r>
        <w:rPr>
          <w:rFonts w:hint="eastAsia" w:ascii="仿宋" w:hAnsi="仿宋" w:eastAsia="仿宋" w:cs="仿宋"/>
          <w:color w:val="auto"/>
          <w:sz w:val="28"/>
          <w:szCs w:val="28"/>
        </w:rPr>
        <w:t>人，中级职称教师</w:t>
      </w:r>
      <w:r>
        <w:rPr>
          <w:rFonts w:hint="eastAsia" w:ascii="仿宋" w:hAnsi="仿宋" w:eastAsia="仿宋" w:cs="仿宋"/>
          <w:color w:val="auto"/>
          <w:sz w:val="28"/>
          <w:szCs w:val="28"/>
          <w:lang w:val="en-US" w:eastAsia="zh-CN"/>
        </w:rPr>
        <w:t>68</w:t>
      </w:r>
      <w:r>
        <w:rPr>
          <w:rFonts w:hint="eastAsia" w:ascii="仿宋" w:hAnsi="仿宋" w:eastAsia="仿宋" w:cs="仿宋"/>
          <w:color w:val="auto"/>
          <w:sz w:val="28"/>
          <w:szCs w:val="28"/>
        </w:rPr>
        <w:t>人。</w:t>
      </w:r>
    </w:p>
    <w:p w14:paraId="37991D39">
      <w:pPr>
        <w:keepNext w:val="0"/>
        <w:keepLines w:val="0"/>
        <w:pageBreakBefore w:val="0"/>
        <w:kinsoku/>
        <w:wordWrap/>
        <w:overflowPunct/>
        <w:topLinePunct w:val="0"/>
        <w:autoSpaceDE/>
        <w:autoSpaceDN/>
        <w:bidi w:val="0"/>
        <w:adjustRightInd/>
        <w:snapToGrid/>
        <w:spacing w:line="560" w:lineRule="exact"/>
        <w:ind w:firstLine="560" w:firstLineChars="200"/>
        <w:jc w:val="left"/>
        <w:textAlignment w:val="auto"/>
        <w:rPr>
          <w:rFonts w:hint="eastAsia" w:ascii="仿宋" w:hAnsi="仿宋" w:eastAsia="仿宋" w:cs="仿宋"/>
          <w:b w:val="0"/>
          <w:bCs w:val="0"/>
          <w:color w:val="auto"/>
          <w:kern w:val="0"/>
          <w:sz w:val="28"/>
          <w:szCs w:val="28"/>
          <w:lang w:val="en-US" w:eastAsia="zh-CN"/>
        </w:rPr>
      </w:pPr>
      <w:r>
        <w:rPr>
          <w:rFonts w:hint="eastAsia" w:ascii="仿宋" w:hAnsi="仿宋" w:eastAsia="仿宋" w:cs="仿宋"/>
          <w:color w:val="auto"/>
          <w:sz w:val="28"/>
          <w:szCs w:val="28"/>
          <w:shd w:val="clear" w:color="auto" w:fill="FFFFFF"/>
          <w:lang w:val="en-US" w:eastAsia="zh-CN"/>
        </w:rPr>
        <w:t>江永一中教育教学水平连年提高。</w:t>
      </w:r>
      <w:r>
        <w:rPr>
          <w:rFonts w:hint="eastAsia" w:ascii="仿宋" w:hAnsi="仿宋" w:eastAsia="仿宋" w:cs="仿宋"/>
          <w:color w:val="auto"/>
          <w:sz w:val="28"/>
          <w:szCs w:val="28"/>
          <w:shd w:val="clear" w:color="auto" w:fill="FFFFFF"/>
        </w:rPr>
        <w:t>20</w:t>
      </w:r>
      <w:r>
        <w:rPr>
          <w:rFonts w:hint="eastAsia" w:ascii="仿宋" w:hAnsi="仿宋" w:eastAsia="仿宋" w:cs="仿宋"/>
          <w:color w:val="auto"/>
          <w:sz w:val="28"/>
          <w:szCs w:val="28"/>
          <w:shd w:val="clear" w:color="auto" w:fill="FFFFFF"/>
          <w:lang w:val="en-US" w:eastAsia="zh-CN"/>
        </w:rPr>
        <w:t>23</w:t>
      </w:r>
      <w:r>
        <w:rPr>
          <w:rFonts w:hint="eastAsia" w:ascii="仿宋" w:hAnsi="仿宋" w:eastAsia="仿宋" w:cs="仿宋"/>
          <w:color w:val="auto"/>
          <w:sz w:val="28"/>
          <w:szCs w:val="28"/>
          <w:shd w:val="clear" w:color="auto" w:fill="FFFFFF"/>
        </w:rPr>
        <w:t>年学业水平全科合格率</w:t>
      </w:r>
      <w:r>
        <w:rPr>
          <w:rFonts w:hint="eastAsia" w:ascii="仿宋" w:hAnsi="仿宋" w:eastAsia="仿宋" w:cs="仿宋"/>
          <w:color w:val="auto"/>
          <w:sz w:val="28"/>
          <w:szCs w:val="28"/>
          <w:shd w:val="clear" w:color="auto" w:fill="FFFFFF"/>
          <w:lang w:val="en-US" w:eastAsia="zh-CN"/>
        </w:rPr>
        <w:t>高二为</w:t>
      </w:r>
      <w:r>
        <w:rPr>
          <w:rFonts w:hint="eastAsia" w:ascii="仿宋" w:hAnsi="仿宋" w:eastAsia="仿宋" w:cs="仿宋"/>
          <w:color w:val="auto"/>
          <w:sz w:val="28"/>
          <w:szCs w:val="28"/>
          <w:shd w:val="clear" w:color="auto" w:fill="FFFFFF"/>
        </w:rPr>
        <w:t>9</w:t>
      </w:r>
      <w:r>
        <w:rPr>
          <w:rFonts w:hint="eastAsia" w:ascii="仿宋" w:hAnsi="仿宋" w:eastAsia="仿宋" w:cs="仿宋"/>
          <w:color w:val="auto"/>
          <w:sz w:val="28"/>
          <w:szCs w:val="28"/>
          <w:shd w:val="clear" w:color="auto" w:fill="FFFFFF"/>
          <w:lang w:val="en-US" w:eastAsia="zh-CN"/>
        </w:rPr>
        <w:t>9</w:t>
      </w:r>
      <w:r>
        <w:rPr>
          <w:rFonts w:hint="eastAsia"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lang w:val="en-US" w:eastAsia="zh-CN"/>
        </w:rPr>
        <w:t>39</w:t>
      </w:r>
      <w:r>
        <w:rPr>
          <w:rFonts w:hint="eastAsia"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lang w:eastAsia="zh-CN"/>
        </w:rPr>
        <w:t>、</w:t>
      </w:r>
      <w:r>
        <w:rPr>
          <w:rFonts w:hint="eastAsia" w:ascii="仿宋" w:hAnsi="仿宋" w:eastAsia="仿宋" w:cs="仿宋"/>
          <w:color w:val="auto"/>
          <w:sz w:val="28"/>
          <w:szCs w:val="28"/>
          <w:shd w:val="clear" w:color="auto" w:fill="FFFFFF"/>
          <w:lang w:val="en-US" w:eastAsia="zh-CN"/>
        </w:rPr>
        <w:t>高一达99.60%</w:t>
      </w:r>
      <w:r>
        <w:rPr>
          <w:rFonts w:hint="eastAsia" w:ascii="仿宋" w:hAnsi="仿宋" w:eastAsia="仿宋" w:cs="仿宋"/>
          <w:color w:val="auto"/>
          <w:sz w:val="28"/>
          <w:szCs w:val="28"/>
          <w:shd w:val="clear" w:color="auto" w:fill="FFFFFF"/>
        </w:rPr>
        <w:t>，</w:t>
      </w:r>
      <w:r>
        <w:rPr>
          <w:rFonts w:hint="eastAsia" w:ascii="仿宋" w:hAnsi="仿宋" w:eastAsia="仿宋" w:cs="仿宋"/>
          <w:color w:val="auto"/>
          <w:sz w:val="28"/>
          <w:szCs w:val="28"/>
          <w:shd w:val="clear" w:color="auto" w:fill="FFFFFF"/>
          <w:lang w:val="en-US" w:eastAsia="zh-CN"/>
        </w:rPr>
        <w:t>成绩稳居省示范性高中前列</w:t>
      </w:r>
      <w:r>
        <w:rPr>
          <w:rFonts w:hint="eastAsia" w:ascii="仿宋" w:hAnsi="仿宋" w:eastAsia="仿宋" w:cs="仿宋"/>
          <w:color w:val="auto"/>
          <w:sz w:val="28"/>
          <w:szCs w:val="28"/>
          <w:shd w:val="clear" w:color="auto" w:fill="FFFFFF"/>
        </w:rPr>
        <w:t>；20</w:t>
      </w:r>
      <w:r>
        <w:rPr>
          <w:rFonts w:hint="eastAsia" w:ascii="仿宋" w:hAnsi="仿宋" w:eastAsia="仿宋" w:cs="仿宋"/>
          <w:color w:val="auto"/>
          <w:sz w:val="28"/>
          <w:szCs w:val="28"/>
          <w:shd w:val="clear" w:color="auto" w:fill="FFFFFF"/>
          <w:lang w:val="en-US" w:eastAsia="zh-CN"/>
        </w:rPr>
        <w:t>23</w:t>
      </w:r>
      <w:r>
        <w:rPr>
          <w:rFonts w:hint="eastAsia" w:ascii="仿宋" w:hAnsi="仿宋" w:eastAsia="仿宋" w:cs="仿宋"/>
          <w:color w:val="auto"/>
          <w:sz w:val="28"/>
          <w:szCs w:val="28"/>
          <w:shd w:val="clear" w:color="auto" w:fill="FFFFFF"/>
        </w:rPr>
        <w:t>年高考</w:t>
      </w:r>
      <w:r>
        <w:rPr>
          <w:rFonts w:hint="eastAsia" w:ascii="仿宋" w:hAnsi="仿宋" w:eastAsia="仿宋" w:cs="仿宋"/>
          <w:color w:val="auto"/>
          <w:sz w:val="28"/>
          <w:szCs w:val="28"/>
        </w:rPr>
        <w:t>一本上线</w:t>
      </w:r>
      <w:r>
        <w:rPr>
          <w:rFonts w:hint="eastAsia" w:ascii="仿宋" w:hAnsi="仿宋" w:eastAsia="仿宋" w:cs="仿宋"/>
          <w:color w:val="auto"/>
          <w:sz w:val="28"/>
          <w:szCs w:val="28"/>
          <w:lang w:val="en-US" w:eastAsia="zh-CN"/>
        </w:rPr>
        <w:t>253</w:t>
      </w:r>
      <w:r>
        <w:rPr>
          <w:rFonts w:hint="eastAsia" w:ascii="仿宋" w:hAnsi="仿宋" w:eastAsia="仿宋" w:cs="仿宋"/>
          <w:color w:val="auto"/>
          <w:sz w:val="28"/>
          <w:szCs w:val="28"/>
        </w:rPr>
        <w:t>人，</w:t>
      </w:r>
      <w:r>
        <w:rPr>
          <w:rFonts w:hint="eastAsia" w:ascii="仿宋" w:hAnsi="仿宋" w:eastAsia="仿宋" w:cs="仿宋"/>
          <w:color w:val="auto"/>
          <w:sz w:val="28"/>
          <w:szCs w:val="28"/>
          <w:lang w:val="en-US" w:eastAsia="zh-CN"/>
        </w:rPr>
        <w:t>本科</w:t>
      </w:r>
      <w:r>
        <w:rPr>
          <w:rFonts w:hint="eastAsia" w:ascii="仿宋" w:hAnsi="仿宋" w:eastAsia="仿宋" w:cs="仿宋"/>
          <w:color w:val="auto"/>
          <w:sz w:val="28"/>
          <w:szCs w:val="28"/>
        </w:rPr>
        <w:t>上线</w:t>
      </w:r>
      <w:r>
        <w:rPr>
          <w:rFonts w:hint="eastAsia" w:ascii="仿宋" w:hAnsi="仿宋" w:eastAsia="仿宋" w:cs="仿宋"/>
          <w:color w:val="auto"/>
          <w:sz w:val="28"/>
          <w:szCs w:val="28"/>
          <w:lang w:val="en-US" w:eastAsia="zh-CN"/>
        </w:rPr>
        <w:t>488</w:t>
      </w:r>
      <w:r>
        <w:rPr>
          <w:rFonts w:hint="eastAsia" w:ascii="仿宋" w:hAnsi="仿宋" w:eastAsia="仿宋" w:cs="仿宋"/>
          <w:color w:val="auto"/>
          <w:sz w:val="28"/>
          <w:szCs w:val="28"/>
        </w:rPr>
        <w:t>人，</w:t>
      </w:r>
      <w:r>
        <w:rPr>
          <w:rFonts w:hint="eastAsia" w:ascii="仿宋" w:hAnsi="仿宋" w:eastAsia="仿宋" w:cs="仿宋"/>
          <w:color w:val="auto"/>
          <w:sz w:val="28"/>
          <w:szCs w:val="28"/>
          <w:lang w:val="en-US" w:eastAsia="zh-CN"/>
        </w:rPr>
        <w:t>49人被985、211录取，79人被双一流大学录取</w:t>
      </w:r>
      <w:r>
        <w:rPr>
          <w:rFonts w:hint="eastAsia" w:ascii="仿宋" w:hAnsi="仿宋" w:eastAsia="仿宋" w:cs="仿宋"/>
          <w:color w:val="auto"/>
          <w:sz w:val="28"/>
          <w:szCs w:val="28"/>
        </w:rPr>
        <w:t>，</w:t>
      </w:r>
      <w:r>
        <w:rPr>
          <w:rFonts w:hint="eastAsia" w:ascii="仿宋" w:hAnsi="仿宋" w:eastAsia="仿宋" w:cs="仿宋"/>
          <w:color w:val="auto"/>
          <w:sz w:val="28"/>
          <w:szCs w:val="28"/>
          <w:lang w:val="en-US" w:eastAsia="zh-CN"/>
        </w:rPr>
        <w:t>办学成绩斐然</w:t>
      </w:r>
      <w:r>
        <w:rPr>
          <w:rFonts w:hint="eastAsia" w:ascii="仿宋" w:hAnsi="仿宋" w:eastAsia="仿宋" w:cs="仿宋"/>
          <w:color w:val="auto"/>
          <w:sz w:val="28"/>
          <w:szCs w:val="28"/>
        </w:rPr>
        <w:t>。</w:t>
      </w:r>
    </w:p>
    <w:p w14:paraId="6E9B18F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560" w:firstLineChars="200"/>
        <w:jc w:val="both"/>
        <w:textAlignment w:val="auto"/>
        <w:rPr>
          <w:rFonts w:hint="eastAsia" w:ascii="仿宋" w:hAnsi="仿宋" w:eastAsia="仿宋" w:cs="仿宋"/>
          <w:b w:val="0"/>
          <w:bCs w:val="0"/>
          <w:color w:val="auto"/>
          <w:sz w:val="28"/>
          <w:szCs w:val="28"/>
          <w:lang w:val="en-US" w:eastAsia="zh-CN"/>
        </w:rPr>
      </w:pPr>
      <w:r>
        <w:rPr>
          <w:rFonts w:hint="eastAsia" w:ascii="仿宋" w:hAnsi="仿宋" w:eastAsia="仿宋" w:cs="仿宋"/>
          <w:b w:val="0"/>
          <w:bCs w:val="0"/>
          <w:color w:val="auto"/>
          <w:sz w:val="28"/>
          <w:szCs w:val="28"/>
          <w:lang w:val="en-US" w:eastAsia="zh-CN"/>
        </w:rPr>
        <w:t>我校遵循党和各级政府教育部门对学校特色教育建设的指导方针，探索“三位一体”的特色教育建设理念，即“红色育人、国学立人、体艺塑人”。以精神文明建设为核心，以国学思想教育为主线，以体艺活动开展为平台，打造具有时代特征学校特色的教育模式。</w:t>
      </w:r>
    </w:p>
    <w:p w14:paraId="0D996DAC">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（二）项目绩效目标</w:t>
      </w:r>
    </w:p>
    <w:p w14:paraId="3BB4BD40">
      <w:pPr>
        <w:spacing w:line="600" w:lineRule="exact"/>
        <w:ind w:firstLine="560" w:firstLineChars="200"/>
        <w:rPr>
          <w:rFonts w:hint="eastAsia" w:ascii="仿宋" w:hAnsi="仿宋" w:eastAsia="仿宋" w:cs="仿宋"/>
          <w:kern w:val="0"/>
          <w:sz w:val="28"/>
          <w:szCs w:val="28"/>
          <w:lang w:eastAsia="zh-CN"/>
        </w:rPr>
      </w:pPr>
      <w:r>
        <w:rPr>
          <w:rFonts w:hint="eastAsia" w:ascii="仿宋" w:hAnsi="仿宋" w:eastAsia="仿宋" w:cs="仿宋"/>
          <w:kern w:val="0"/>
          <w:sz w:val="28"/>
          <w:szCs w:val="28"/>
        </w:rPr>
        <w:t>目标：按照国家政策法规规定和本单位实际情况，建立健全财务基础管理制度和约束机制，依法、有效地使用财政资金，提高财政资金使用效率，在完成单位职能目标中合理分配人、财、物，使之达到较高的工作效率和水平</w:t>
      </w:r>
      <w:r>
        <w:rPr>
          <w:rFonts w:hint="eastAsia" w:ascii="仿宋" w:hAnsi="仿宋" w:eastAsia="仿宋" w:cs="仿宋"/>
          <w:kern w:val="0"/>
          <w:sz w:val="28"/>
          <w:szCs w:val="28"/>
          <w:lang w:eastAsia="zh-CN"/>
        </w:rPr>
        <w:t>，提高学校的教育教学质量。</w:t>
      </w:r>
    </w:p>
    <w:p w14:paraId="10871C96">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二</w:t>
      </w:r>
      <w:r>
        <w:rPr>
          <w:rFonts w:hint="eastAsia" w:ascii="仿宋" w:hAnsi="仿宋" w:eastAsia="仿宋" w:cs="仿宋"/>
          <w:b/>
          <w:bCs/>
          <w:color w:val="000000"/>
          <w:kern w:val="0"/>
          <w:sz w:val="30"/>
          <w:szCs w:val="30"/>
        </w:rPr>
        <w:t>、</w:t>
      </w:r>
      <w:r>
        <w:rPr>
          <w:rFonts w:hint="eastAsia" w:ascii="仿宋" w:hAnsi="仿宋" w:eastAsia="仿宋" w:cs="仿宋"/>
          <w:b/>
          <w:bCs/>
          <w:kern w:val="0"/>
          <w:sz w:val="30"/>
          <w:szCs w:val="30"/>
        </w:rPr>
        <w:t>一般公共预算支出情况</w:t>
      </w:r>
    </w:p>
    <w:p w14:paraId="2A28121C">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（一）基本支出情况</w:t>
      </w:r>
    </w:p>
    <w:p w14:paraId="4F6C9DDF">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江永县</w:t>
      </w:r>
      <w:r>
        <w:rPr>
          <w:rFonts w:hint="eastAsia" w:ascii="仿宋" w:hAnsi="仿宋" w:eastAsia="仿宋" w:cs="仿宋"/>
          <w:kern w:val="0"/>
          <w:sz w:val="28"/>
          <w:szCs w:val="28"/>
          <w:lang w:eastAsia="zh-CN"/>
        </w:rPr>
        <w:t>第一中学</w:t>
      </w:r>
      <w:r>
        <w:rPr>
          <w:rFonts w:hint="eastAsia" w:ascii="仿宋" w:hAnsi="仿宋" w:eastAsia="仿宋" w:cs="仿宋"/>
          <w:kern w:val="0"/>
          <w:sz w:val="28"/>
          <w:szCs w:val="28"/>
        </w:rPr>
        <w:t>基本支出资金</w:t>
      </w:r>
      <w:r>
        <w:rPr>
          <w:rFonts w:hint="eastAsia" w:ascii="仿宋" w:hAnsi="仿宋" w:eastAsia="仿宋" w:cs="仿宋"/>
          <w:kern w:val="0"/>
          <w:sz w:val="28"/>
          <w:szCs w:val="28"/>
          <w:lang w:val="en-US" w:eastAsia="zh-CN"/>
        </w:rPr>
        <w:t>2761.27</w:t>
      </w:r>
      <w:r>
        <w:rPr>
          <w:rFonts w:hint="eastAsia" w:ascii="仿宋" w:hAnsi="仿宋" w:eastAsia="仿宋" w:cs="仿宋"/>
          <w:kern w:val="0"/>
          <w:sz w:val="28"/>
          <w:szCs w:val="28"/>
        </w:rPr>
        <w:t>万元。其中：人员经费</w:t>
      </w:r>
      <w:r>
        <w:rPr>
          <w:rFonts w:hint="eastAsia" w:ascii="仿宋" w:hAnsi="仿宋" w:eastAsia="仿宋" w:cs="仿宋"/>
          <w:kern w:val="0"/>
          <w:sz w:val="28"/>
          <w:szCs w:val="28"/>
          <w:lang w:val="en-US" w:eastAsia="zh-CN"/>
        </w:rPr>
        <w:t>2523.97</w:t>
      </w:r>
      <w:r>
        <w:rPr>
          <w:rFonts w:hint="eastAsia" w:ascii="仿宋" w:hAnsi="仿宋" w:eastAsia="仿宋" w:cs="仿宋"/>
          <w:kern w:val="0"/>
          <w:sz w:val="28"/>
          <w:szCs w:val="28"/>
        </w:rPr>
        <w:t>万元，公用支出</w:t>
      </w:r>
      <w:r>
        <w:rPr>
          <w:rFonts w:hint="eastAsia" w:ascii="仿宋" w:hAnsi="仿宋" w:eastAsia="仿宋" w:cs="仿宋"/>
          <w:kern w:val="0"/>
          <w:sz w:val="28"/>
          <w:szCs w:val="28"/>
          <w:lang w:val="en-US" w:eastAsia="zh-CN"/>
        </w:rPr>
        <w:t>237.29</w:t>
      </w:r>
      <w:r>
        <w:rPr>
          <w:rFonts w:hint="eastAsia" w:ascii="仿宋" w:hAnsi="仿宋" w:eastAsia="仿宋" w:cs="仿宋"/>
          <w:kern w:val="0"/>
          <w:sz w:val="28"/>
          <w:szCs w:val="28"/>
        </w:rPr>
        <w:t>万元。</w:t>
      </w:r>
    </w:p>
    <w:p w14:paraId="1A5CF67A">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（二）项目支出情况</w:t>
      </w:r>
    </w:p>
    <w:p w14:paraId="170AF259">
      <w:pPr>
        <w:spacing w:line="600" w:lineRule="exact"/>
        <w:ind w:firstLine="560" w:firstLineChars="200"/>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1.县级专项资金</w:t>
      </w:r>
      <w:r>
        <w:rPr>
          <w:rFonts w:hint="eastAsia" w:ascii="仿宋" w:hAnsi="仿宋" w:eastAsia="仿宋" w:cs="仿宋"/>
          <w:kern w:val="0"/>
          <w:sz w:val="28"/>
          <w:szCs w:val="28"/>
          <w:lang w:val="en-US" w:eastAsia="zh-CN"/>
        </w:rPr>
        <w:t>365.82</w:t>
      </w:r>
      <w:r>
        <w:rPr>
          <w:rFonts w:hint="eastAsia" w:ascii="仿宋" w:hAnsi="仿宋" w:eastAsia="仿宋" w:cs="仿宋"/>
          <w:kern w:val="0"/>
          <w:sz w:val="28"/>
          <w:szCs w:val="28"/>
        </w:rPr>
        <w:t>万元。其中：</w:t>
      </w:r>
      <w:r>
        <w:rPr>
          <w:rFonts w:hint="eastAsia" w:ascii="仿宋" w:hAnsi="仿宋" w:eastAsia="仿宋" w:cs="仿宋"/>
          <w:kern w:val="0"/>
          <w:sz w:val="28"/>
          <w:szCs w:val="28"/>
          <w:lang w:eastAsia="zh-CN"/>
        </w:rPr>
        <w:t>江永一中双休日超工作量奖励</w:t>
      </w:r>
      <w:r>
        <w:rPr>
          <w:rFonts w:hint="eastAsia" w:ascii="仿宋" w:hAnsi="仿宋" w:eastAsia="仿宋" w:cs="仿宋"/>
          <w:kern w:val="0"/>
          <w:sz w:val="28"/>
          <w:szCs w:val="28"/>
          <w:lang w:val="en-US" w:eastAsia="zh-CN"/>
        </w:rPr>
        <w:t>258万元，非税工作经费107.82万元。</w:t>
      </w:r>
    </w:p>
    <w:p w14:paraId="34F66B83">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三、绩效评价情况</w:t>
      </w:r>
    </w:p>
    <w:p w14:paraId="0FD79989">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（一）绩效评价的目的</w:t>
      </w:r>
    </w:p>
    <w:p w14:paraId="44B0ED1A">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通过绩效评价，能更具体了解我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整体部门支出资金投入、分配和使用情况，资金管理制度、措施制定和实施情况，资金使用效果和资金项目目标实现情况。有利于总结经验，发现问题，及时改进。进一步加强我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整体部门支出资金管理，提升</w:t>
      </w:r>
      <w:r>
        <w:rPr>
          <w:rFonts w:hint="eastAsia" w:ascii="仿宋" w:hAnsi="仿宋" w:eastAsia="仿宋" w:cs="仿宋"/>
          <w:kern w:val="0"/>
          <w:sz w:val="28"/>
          <w:szCs w:val="28"/>
          <w:lang w:eastAsia="zh-CN"/>
        </w:rPr>
        <w:t>我校教育教学质量</w:t>
      </w:r>
      <w:r>
        <w:rPr>
          <w:rFonts w:hint="eastAsia" w:ascii="仿宋" w:hAnsi="仿宋" w:eastAsia="仿宋" w:cs="仿宋"/>
          <w:kern w:val="0"/>
          <w:sz w:val="28"/>
          <w:szCs w:val="28"/>
        </w:rPr>
        <w:t>。实现资金使用效益最大化，提高政府管理效能和财政资金使用效益，切实保证财政资金安全。</w:t>
      </w:r>
    </w:p>
    <w:p w14:paraId="21C31118">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（二）绩效评价原则、评价指标体系、评价方法</w:t>
      </w:r>
    </w:p>
    <w:p w14:paraId="787279B9">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1.评价原则：我们遵循“科学性、规范性、客观性和公正性”的原则，以</w:t>
      </w:r>
      <w:r>
        <w:rPr>
          <w:rFonts w:hint="eastAsia" w:ascii="仿宋" w:hAnsi="仿宋" w:eastAsia="仿宋" w:cs="仿宋"/>
          <w:sz w:val="28"/>
          <w:szCs w:val="28"/>
        </w:rPr>
        <w:t>《江永县预算支出绩效评价管理办法》(江永财发〔2024〕3号 )、《江永县县级预算部门绩效自评操作规程》(江永财发〔2023〕39 号 )</w:t>
      </w:r>
      <w:r>
        <w:rPr>
          <w:rFonts w:hint="eastAsia" w:ascii="仿宋" w:hAnsi="仿宋" w:eastAsia="仿宋" w:cs="仿宋"/>
          <w:kern w:val="0"/>
          <w:sz w:val="28"/>
          <w:szCs w:val="28"/>
        </w:rPr>
        <w:t>文件精神，以及中央、省有关预算绩效管理的政策规定、财务会计制度等为指导，由点到面、稳步推进，对我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整体部门支出资金的管理及产生</w:t>
      </w:r>
      <w:r>
        <w:rPr>
          <w:rFonts w:hint="eastAsia" w:ascii="仿宋" w:hAnsi="仿宋" w:eastAsia="仿宋" w:cs="仿宋"/>
          <w:kern w:val="0"/>
          <w:sz w:val="28"/>
          <w:szCs w:val="28"/>
          <w:lang w:eastAsia="zh-CN"/>
        </w:rPr>
        <w:t>的</w:t>
      </w:r>
      <w:r>
        <w:rPr>
          <w:rFonts w:hint="eastAsia" w:ascii="仿宋" w:hAnsi="仿宋" w:eastAsia="仿宋" w:cs="仿宋"/>
          <w:kern w:val="0"/>
          <w:sz w:val="28"/>
          <w:szCs w:val="28"/>
        </w:rPr>
        <w:t>社会效益进行自我评价。</w:t>
      </w:r>
    </w:p>
    <w:p w14:paraId="45D03AB8">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2.评价指标体系：设</w:t>
      </w:r>
      <w:r>
        <w:rPr>
          <w:rFonts w:hint="eastAsia" w:ascii="仿宋" w:hAnsi="仿宋" w:eastAsia="仿宋" w:cs="仿宋"/>
          <w:kern w:val="0"/>
          <w:sz w:val="28"/>
          <w:szCs w:val="28"/>
          <w:lang w:eastAsia="zh-CN"/>
        </w:rPr>
        <w:t>投入管理、</w:t>
      </w:r>
      <w:r>
        <w:rPr>
          <w:rFonts w:hint="eastAsia" w:ascii="仿宋" w:hAnsi="仿宋" w:eastAsia="仿宋" w:cs="仿宋"/>
          <w:kern w:val="0"/>
          <w:sz w:val="28"/>
          <w:szCs w:val="28"/>
        </w:rPr>
        <w:t>产出</w:t>
      </w:r>
      <w:r>
        <w:rPr>
          <w:rFonts w:hint="eastAsia" w:ascii="仿宋" w:hAnsi="仿宋" w:eastAsia="仿宋" w:cs="仿宋"/>
          <w:kern w:val="0"/>
          <w:sz w:val="28"/>
          <w:szCs w:val="28"/>
          <w:lang w:eastAsia="zh-CN"/>
        </w:rPr>
        <w:t>和</w:t>
      </w:r>
      <w:r>
        <w:rPr>
          <w:rFonts w:hint="eastAsia" w:ascii="仿宋" w:hAnsi="仿宋" w:eastAsia="仿宋" w:cs="仿宋"/>
          <w:kern w:val="0"/>
          <w:sz w:val="28"/>
          <w:szCs w:val="28"/>
        </w:rPr>
        <w:t>效</w:t>
      </w:r>
      <w:r>
        <w:rPr>
          <w:rFonts w:hint="eastAsia" w:ascii="仿宋" w:hAnsi="仿宋" w:eastAsia="仿宋" w:cs="仿宋"/>
          <w:kern w:val="0"/>
          <w:sz w:val="28"/>
          <w:szCs w:val="28"/>
          <w:lang w:eastAsia="zh-CN"/>
        </w:rPr>
        <w:t>益</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个一级指标、下分</w:t>
      </w:r>
      <w:r>
        <w:rPr>
          <w:rFonts w:hint="eastAsia" w:ascii="仿宋" w:hAnsi="仿宋" w:eastAsia="仿宋" w:cs="仿宋"/>
          <w:kern w:val="0"/>
          <w:sz w:val="28"/>
          <w:szCs w:val="28"/>
          <w:lang w:val="en-US" w:eastAsia="zh-CN"/>
        </w:rPr>
        <w:t>8</w:t>
      </w:r>
      <w:r>
        <w:rPr>
          <w:rFonts w:hint="eastAsia" w:ascii="仿宋" w:hAnsi="仿宋" w:eastAsia="仿宋" w:cs="仿宋"/>
          <w:kern w:val="0"/>
          <w:sz w:val="28"/>
          <w:szCs w:val="28"/>
        </w:rPr>
        <w:t>个二级指标和</w:t>
      </w:r>
      <w:r>
        <w:rPr>
          <w:rFonts w:hint="eastAsia" w:ascii="仿宋" w:hAnsi="仿宋" w:eastAsia="仿宋" w:cs="仿宋"/>
          <w:kern w:val="0"/>
          <w:sz w:val="28"/>
          <w:szCs w:val="28"/>
          <w:lang w:val="en-US" w:eastAsia="zh-CN"/>
        </w:rPr>
        <w:t>45</w:t>
      </w:r>
      <w:r>
        <w:rPr>
          <w:rFonts w:hint="eastAsia" w:ascii="仿宋" w:hAnsi="仿宋" w:eastAsia="仿宋" w:cs="仿宋"/>
          <w:kern w:val="0"/>
          <w:sz w:val="28"/>
          <w:szCs w:val="28"/>
        </w:rPr>
        <w:t>个三级指标，按照评价指标设定评价内容，分值为9</w:t>
      </w: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分。（详见评价指标体系评分表）</w:t>
      </w:r>
    </w:p>
    <w:p w14:paraId="79974B4D">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评价方法：（1）成本效益分析法。是指将一定时期内的支出与效益进行对比分析，以评价绩效目标实现程度。（2）比较法。是指通过对绩效目标与实施效果、历史与当期情况、不同部门和地区同类支出的比较，符合分析绩效目标实现程度。（3）因素分析法。是指通过综合分析影响绩效目标实现、实施效果的内外因素、评价绩效目标实现程度。（4）最低成本法。是指对效益确定却不易计量的多个同类对象的实施成本进行比较，评价绩效目标实现程度。（5）公众评判法，是指通过专家评估、公众问卷及抽样调查等对财政支出效果进行评判，评价绩效目标实现程度。</w:t>
      </w:r>
    </w:p>
    <w:p w14:paraId="573C83BD">
      <w:pPr>
        <w:spacing w:line="600" w:lineRule="exact"/>
        <w:ind w:firstLine="562" w:firstLineChars="200"/>
        <w:rPr>
          <w:rFonts w:hint="eastAsia" w:ascii="仿宋" w:hAnsi="仿宋" w:eastAsia="仿宋" w:cs="仿宋"/>
          <w:b/>
          <w:kern w:val="0"/>
          <w:sz w:val="28"/>
          <w:szCs w:val="28"/>
        </w:rPr>
      </w:pPr>
      <w:r>
        <w:rPr>
          <w:rFonts w:hint="eastAsia" w:ascii="仿宋" w:hAnsi="仿宋" w:eastAsia="仿宋" w:cs="仿宋"/>
          <w:b/>
          <w:kern w:val="0"/>
          <w:sz w:val="28"/>
          <w:szCs w:val="28"/>
        </w:rPr>
        <w:t>（三）绩效评价工作过程</w:t>
      </w:r>
    </w:p>
    <w:p w14:paraId="14C59B63">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1.前期准备：</w:t>
      </w:r>
      <w:r>
        <w:rPr>
          <w:rFonts w:hint="eastAsia" w:ascii="仿宋" w:hAnsi="仿宋" w:eastAsia="仿宋" w:cs="仿宋"/>
          <w:kern w:val="0"/>
          <w:sz w:val="28"/>
          <w:szCs w:val="28"/>
          <w:lang w:eastAsia="zh-CN"/>
        </w:rPr>
        <w:t>财务室</w:t>
      </w:r>
      <w:r>
        <w:rPr>
          <w:rFonts w:hint="eastAsia" w:ascii="仿宋" w:hAnsi="仿宋" w:eastAsia="仿宋" w:cs="仿宋"/>
          <w:kern w:val="0"/>
          <w:sz w:val="28"/>
          <w:szCs w:val="28"/>
        </w:rPr>
        <w:t>年底，制定评价实施方案，确定现场评价时间。</w:t>
      </w:r>
    </w:p>
    <w:p w14:paraId="7F8C6F5C">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2.组织实施。办公室、</w:t>
      </w:r>
      <w:r>
        <w:rPr>
          <w:rFonts w:hint="eastAsia" w:ascii="仿宋" w:hAnsi="仿宋" w:eastAsia="仿宋" w:cs="仿宋"/>
          <w:kern w:val="0"/>
          <w:sz w:val="28"/>
          <w:szCs w:val="28"/>
          <w:lang w:eastAsia="zh-CN"/>
        </w:rPr>
        <w:t>总务处</w:t>
      </w:r>
      <w:r>
        <w:rPr>
          <w:rFonts w:hint="eastAsia" w:ascii="仿宋" w:hAnsi="仿宋" w:eastAsia="仿宋" w:cs="仿宋"/>
          <w:kern w:val="0"/>
          <w:sz w:val="28"/>
          <w:szCs w:val="28"/>
        </w:rPr>
        <w:t>做好基础数据资料的收集、整理，填写报表、撰写自评报告，根据有关规定的要求，整理、综合分析相关信息，撰写、修改绩效评价报告初稿，并上报县财政局绩效股。</w:t>
      </w:r>
    </w:p>
    <w:p w14:paraId="0671C91B">
      <w:pPr>
        <w:spacing w:line="60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（四）项目绩效情况分析</w:t>
      </w:r>
    </w:p>
    <w:p w14:paraId="0513DB48">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1.经济性分析。2023年我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整体部门支出资金</w:t>
      </w:r>
      <w:r>
        <w:rPr>
          <w:rFonts w:hint="eastAsia" w:ascii="仿宋" w:hAnsi="仿宋" w:eastAsia="仿宋" w:cs="仿宋"/>
          <w:kern w:val="0"/>
          <w:sz w:val="28"/>
          <w:szCs w:val="28"/>
          <w:lang w:val="en-US" w:eastAsia="zh-CN"/>
        </w:rPr>
        <w:t>3127.09</w:t>
      </w:r>
      <w:r>
        <w:rPr>
          <w:rFonts w:hint="eastAsia" w:ascii="仿宋" w:hAnsi="仿宋" w:eastAsia="仿宋" w:cs="仿宋"/>
          <w:kern w:val="0"/>
          <w:sz w:val="28"/>
          <w:szCs w:val="28"/>
        </w:rPr>
        <w:t>万元，本着“少花钱、多办事、办好事”的原则，严格控制办公经费的支出，办公经费控制率为100%（办公经费控制率＝办公经费支出数/办公经费预算数）。</w:t>
      </w:r>
    </w:p>
    <w:p w14:paraId="70869B5E">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2、效率性分析。根据部门整体支出目标，我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及时进行任务分工，进一步完善了财务制度，使财政收支预算执行得到了良好的制度保障和实施效果。工作任务完成率100%。</w:t>
      </w:r>
    </w:p>
    <w:p w14:paraId="6262CC5A">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3.效益性分析。我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围绕</w:t>
      </w:r>
      <w:r>
        <w:rPr>
          <w:rFonts w:hint="eastAsia" w:ascii="仿宋" w:hAnsi="仿宋" w:eastAsia="仿宋" w:cs="仿宋"/>
          <w:kern w:val="0"/>
          <w:sz w:val="28"/>
          <w:szCs w:val="28"/>
          <w:lang w:eastAsia="zh-CN"/>
        </w:rPr>
        <w:t>高中教育事业</w:t>
      </w:r>
      <w:r>
        <w:rPr>
          <w:rFonts w:hint="eastAsia" w:ascii="仿宋" w:hAnsi="仿宋" w:eastAsia="仿宋" w:cs="仿宋"/>
          <w:kern w:val="0"/>
          <w:sz w:val="28"/>
          <w:szCs w:val="28"/>
        </w:rPr>
        <w:t>质量提升等工作目标，不断进行结构调整和创新的能力，实现“</w:t>
      </w:r>
      <w:r>
        <w:rPr>
          <w:rFonts w:hint="eastAsia" w:ascii="仿宋" w:hAnsi="仿宋" w:eastAsia="仿宋" w:cs="仿宋"/>
          <w:kern w:val="0"/>
          <w:sz w:val="28"/>
          <w:szCs w:val="28"/>
          <w:lang w:eastAsia="zh-CN"/>
        </w:rPr>
        <w:t>江永教育质量大提升</w:t>
      </w:r>
      <w:r>
        <w:rPr>
          <w:rFonts w:hint="eastAsia" w:ascii="仿宋" w:hAnsi="仿宋" w:eastAsia="仿宋" w:cs="仿宋"/>
          <w:kern w:val="0"/>
          <w:sz w:val="28"/>
          <w:szCs w:val="28"/>
        </w:rPr>
        <w:t>”目标。</w:t>
      </w:r>
    </w:p>
    <w:p w14:paraId="4BC0BD49">
      <w:pPr>
        <w:spacing w:line="600" w:lineRule="exact"/>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（五）综合评价情况及评价结论</w:t>
      </w:r>
    </w:p>
    <w:p w14:paraId="0DFE2A3B">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部门整体支出资金使用和管理中，实际支出与计划规定的用途一致，</w:t>
      </w:r>
      <w:r>
        <w:rPr>
          <w:rFonts w:hint="eastAsia" w:ascii="仿宋" w:hAnsi="仿宋" w:eastAsia="仿宋" w:cs="仿宋"/>
          <w:kern w:val="0"/>
          <w:sz w:val="28"/>
          <w:szCs w:val="28"/>
          <w:lang w:eastAsia="zh-CN"/>
        </w:rPr>
        <w:t>项目资金</w:t>
      </w:r>
      <w:r>
        <w:rPr>
          <w:rFonts w:hint="eastAsia" w:ascii="仿宋" w:hAnsi="仿宋" w:eastAsia="仿宋" w:cs="仿宋"/>
          <w:kern w:val="0"/>
          <w:sz w:val="28"/>
          <w:szCs w:val="28"/>
        </w:rPr>
        <w:t>因县财政资金困难尚未支付。资金使用都能做到公开、公平，按程序上报和审批。财务制度健全，财务信息真实完整，无截留、挤占、挪用等违规行为。根据《 县级预算支出绩效评价管理办法》的评价内容和指标，对我</w:t>
      </w:r>
      <w:r>
        <w:rPr>
          <w:rFonts w:hint="eastAsia" w:ascii="仿宋" w:hAnsi="仿宋" w:eastAsia="仿宋" w:cs="仿宋"/>
          <w:kern w:val="0"/>
          <w:sz w:val="28"/>
          <w:szCs w:val="28"/>
          <w:lang w:eastAsia="zh-CN"/>
        </w:rPr>
        <w:t>校</w:t>
      </w:r>
      <w:r>
        <w:rPr>
          <w:rFonts w:hint="eastAsia" w:ascii="仿宋" w:hAnsi="仿宋" w:eastAsia="仿宋" w:cs="仿宋"/>
          <w:kern w:val="0"/>
          <w:sz w:val="28"/>
          <w:szCs w:val="28"/>
        </w:rPr>
        <w:t>部门整体支出资金绩效自评得分为9</w:t>
      </w:r>
      <w:r>
        <w:rPr>
          <w:rFonts w:hint="eastAsia" w:ascii="仿宋" w:hAnsi="仿宋" w:eastAsia="仿宋" w:cs="仿宋"/>
          <w:kern w:val="0"/>
          <w:sz w:val="28"/>
          <w:szCs w:val="28"/>
          <w:lang w:val="en-US" w:eastAsia="zh-CN"/>
        </w:rPr>
        <w:t>5</w:t>
      </w:r>
      <w:r>
        <w:rPr>
          <w:rFonts w:hint="eastAsia" w:ascii="仿宋" w:hAnsi="仿宋" w:eastAsia="仿宋" w:cs="仿宋"/>
          <w:kern w:val="0"/>
          <w:sz w:val="28"/>
          <w:szCs w:val="28"/>
        </w:rPr>
        <w:t>分。</w:t>
      </w:r>
    </w:p>
    <w:p w14:paraId="73E9ADC6">
      <w:pPr>
        <w:spacing w:line="600" w:lineRule="exact"/>
        <w:ind w:firstLine="602" w:firstLineChars="200"/>
        <w:rPr>
          <w:rFonts w:hint="eastAsia" w:ascii="仿宋" w:hAnsi="仿宋" w:eastAsia="仿宋" w:cs="仿宋"/>
          <w:b/>
          <w:bCs/>
          <w:kern w:val="0"/>
          <w:sz w:val="30"/>
          <w:szCs w:val="30"/>
        </w:rPr>
      </w:pPr>
      <w:r>
        <w:rPr>
          <w:rFonts w:hint="eastAsia" w:ascii="仿宋" w:hAnsi="仿宋" w:eastAsia="仿宋" w:cs="仿宋"/>
          <w:b/>
          <w:bCs/>
          <w:kern w:val="0"/>
          <w:sz w:val="30"/>
          <w:szCs w:val="30"/>
        </w:rPr>
        <w:t>四、自评实施存在的问题和改进措施</w:t>
      </w:r>
    </w:p>
    <w:p w14:paraId="5284BE13">
      <w:p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根据绩效评价工作要求，我们成立了自评工作领导小组，对自评实施工作方案进行了认真的研究和布置，使自评工作得以顺利开展，取得了较好的效果。但仍存在问题：1、在对定性指标的主裁判议上，由于评价内容较宏观，所以部分参与评价的人员不能客观地对本部门的绩效进行评价；2、年度预算不精细。鉴于此，明年的绩效评价工作我们将根据定性指标的内容设置一些具体明细的项目进行部门之间互评，以使定性指标的评议更客观和具参考价值。</w:t>
      </w:r>
    </w:p>
    <w:p w14:paraId="0F99BF8F">
      <w:pPr>
        <w:numPr>
          <w:ilvl w:val="0"/>
          <w:numId w:val="1"/>
        </w:numPr>
        <w:spacing w:line="600" w:lineRule="exact"/>
        <w:ind w:firstLine="602" w:firstLineChars="200"/>
        <w:rPr>
          <w:rFonts w:hint="eastAsia" w:ascii="仿宋" w:hAnsi="仿宋" w:eastAsia="仿宋" w:cs="仿宋"/>
          <w:kern w:val="0"/>
          <w:sz w:val="28"/>
          <w:szCs w:val="28"/>
        </w:rPr>
      </w:pPr>
      <w:r>
        <w:rPr>
          <w:rFonts w:hint="eastAsia" w:ascii="仿宋" w:hAnsi="仿宋" w:eastAsia="仿宋" w:cs="仿宋"/>
          <w:b/>
          <w:bCs/>
          <w:kern w:val="0"/>
          <w:sz w:val="30"/>
          <w:szCs w:val="30"/>
        </w:rPr>
        <w:t>绩效评价结果应用建议</w:t>
      </w:r>
    </w:p>
    <w:p w14:paraId="3FE39450">
      <w:pPr>
        <w:numPr>
          <w:ilvl w:val="0"/>
          <w:numId w:val="0"/>
        </w:numPr>
        <w:spacing w:line="60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2024年起，年度预算中增</w:t>
      </w:r>
      <w:r>
        <w:rPr>
          <w:rFonts w:hint="eastAsia" w:ascii="仿宋" w:hAnsi="仿宋" w:eastAsia="仿宋" w:cs="仿宋"/>
          <w:kern w:val="0"/>
          <w:sz w:val="28"/>
          <w:szCs w:val="28"/>
          <w:lang w:eastAsia="zh-CN"/>
        </w:rPr>
        <w:t>加学校教育</w:t>
      </w:r>
      <w:r>
        <w:rPr>
          <w:rFonts w:hint="eastAsia" w:ascii="仿宋" w:hAnsi="仿宋" w:eastAsia="仿宋" w:cs="仿宋"/>
          <w:kern w:val="0"/>
          <w:sz w:val="28"/>
          <w:szCs w:val="28"/>
        </w:rPr>
        <w:t>资金投入。</w:t>
      </w:r>
    </w:p>
    <w:p w14:paraId="13B844FC">
      <w:pPr>
        <w:wordWrap w:val="0"/>
        <w:spacing w:line="600" w:lineRule="exact"/>
        <w:jc w:val="right"/>
        <w:rPr>
          <w:rFonts w:hint="eastAsia" w:ascii="仿宋" w:hAnsi="仿宋" w:eastAsia="仿宋" w:cs="仿宋"/>
          <w:kern w:val="0"/>
          <w:sz w:val="28"/>
          <w:szCs w:val="28"/>
        </w:rPr>
      </w:pPr>
      <w:r>
        <w:rPr>
          <w:rFonts w:hint="eastAsia" w:ascii="仿宋" w:hAnsi="仿宋" w:eastAsia="仿宋" w:cs="仿宋"/>
          <w:kern w:val="0"/>
          <w:sz w:val="28"/>
          <w:szCs w:val="28"/>
        </w:rPr>
        <w:t xml:space="preserve">           江永</w:t>
      </w:r>
      <w:r>
        <w:rPr>
          <w:rFonts w:hint="eastAsia" w:ascii="仿宋" w:hAnsi="仿宋" w:eastAsia="仿宋" w:cs="仿宋"/>
          <w:kern w:val="0"/>
          <w:sz w:val="28"/>
          <w:szCs w:val="28"/>
          <w:lang w:eastAsia="zh-CN"/>
        </w:rPr>
        <w:t>第一中学</w:t>
      </w:r>
      <w:r>
        <w:rPr>
          <w:rFonts w:hint="eastAsia" w:ascii="仿宋" w:hAnsi="仿宋" w:eastAsia="仿宋" w:cs="仿宋"/>
          <w:kern w:val="0"/>
          <w:sz w:val="28"/>
          <w:szCs w:val="28"/>
        </w:rPr>
        <w:t xml:space="preserve">  </w:t>
      </w:r>
    </w:p>
    <w:p w14:paraId="168D76F6">
      <w:pPr>
        <w:spacing w:line="600" w:lineRule="exact"/>
        <w:jc w:val="right"/>
      </w:pPr>
      <w:r>
        <w:rPr>
          <w:rFonts w:hint="eastAsia" w:ascii="仿宋" w:hAnsi="仿宋" w:eastAsia="仿宋" w:cs="仿宋"/>
          <w:kern w:val="0"/>
          <w:sz w:val="28"/>
          <w:szCs w:val="28"/>
        </w:rPr>
        <w:t xml:space="preserve">                          2024年</w:t>
      </w:r>
      <w:r>
        <w:rPr>
          <w:rFonts w:hint="eastAsia" w:ascii="仿宋" w:hAnsi="仿宋" w:eastAsia="仿宋" w:cs="仿宋"/>
          <w:kern w:val="0"/>
          <w:sz w:val="28"/>
          <w:szCs w:val="28"/>
          <w:lang w:val="en-US" w:eastAsia="zh-CN"/>
        </w:rPr>
        <w:t>3</w:t>
      </w:r>
      <w:r>
        <w:rPr>
          <w:rFonts w:hint="eastAsia" w:ascii="仿宋" w:hAnsi="仿宋" w:eastAsia="仿宋" w:cs="仿宋"/>
          <w:kern w:val="0"/>
          <w:sz w:val="28"/>
          <w:szCs w:val="28"/>
        </w:rPr>
        <w:t>月22日</w:t>
      </w:r>
      <w:bookmarkStart w:id="0" w:name="_GoBack"/>
      <w:bookmarkEnd w:id="0"/>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4DEB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AFF05F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7AFF05F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C32A45"/>
    <w:multiLevelType w:val="singleLevel"/>
    <w:tmpl w:val="78C32A45"/>
    <w:lvl w:ilvl="0" w:tentative="0">
      <w:start w:val="5"/>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Y1M2ZmMGExZWI3OWU4ZGJjNWJkNGNmOGRjZmM5MmYifQ=="/>
  </w:docVars>
  <w:rsids>
    <w:rsidRoot w:val="7F0B68B7"/>
    <w:rsid w:val="7F0B68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2024-10-08T08:40:00Z</dcterms:created>
  <dc:creator>何海龙</dc:creator>
  <cp:lastModifiedBy>何海龙</cp:lastModifiedBy>
  <dcterms:modified xsi:type="dcterms:W3CDTF">2024-10-08T08:42:19Z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16AE29D2280846119E01B9CA092E46D8_11</vt:lpwstr>
  </property>
</Properties>
</file>